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Public Policy Process on GMOs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Public Policy Process on GMOs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Genetically modified organisms have sparked a debate that has remained contentious up to date. Two factions are torn between the arguments on whether the GMOs are safe for humans or are used to advance the wealth creation for the large corporations involved in this business. As such, the public is torn on what they can believe. However, public administrators and professional legislators have a role in ensuring that this confusion ends, or at least the people have a better understanding of the issue's true perspective. This essay highlights how professional legislators and public administrators can help enhance transparent scientific discussions on GMOs based on the six-step public policy process.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Agenda Setting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This is the first process or phase in public policy in which the policymakers identify the problem that needs to be addressed. Before a policy is enacted or created, there must be a problem that it seeks to address. For professional legislators and public administrators, there is a need to understand and examine GMOs' issues that need to be addressed in the policy. In the past discussions, people have been discussing the impacts of GMOs without necessarily focusing on the problem, which can be addressed through the public policy process. If it is the GMOs' safety standards, the legislators need to identify and base their discussions on that point.</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Policy Formation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is the second process where solutions to the problem are argued and shaped. As </w:t>
      </w:r>
      <w:r>
        <w:rPr>
          <w:rFonts w:ascii="Times New Roman" w:cs="Times New Roman" w:hAnsi="Times New Roman"/>
          <w:sz w:val="24"/>
          <w:szCs w:val="24"/>
        </w:rPr>
        <w:t>Knill</w:t>
      </w:r>
      <w:r>
        <w:rPr>
          <w:rFonts w:ascii="Times New Roman" w:cs="Times New Roman" w:hAnsi="Times New Roman"/>
          <w:sz w:val="24"/>
          <w:szCs w:val="24"/>
        </w:rPr>
        <w:t xml:space="preserve"> and </w:t>
      </w:r>
      <w:r>
        <w:rPr>
          <w:rFonts w:ascii="Times New Roman" w:cs="Times New Roman" w:hAnsi="Times New Roman"/>
          <w:sz w:val="24"/>
          <w:szCs w:val="24"/>
        </w:rPr>
        <w:t>Tosun</w:t>
      </w:r>
      <w:r>
        <w:rPr>
          <w:rFonts w:ascii="Times New Roman" w:cs="Times New Roman" w:hAnsi="Times New Roman"/>
          <w:sz w:val="24"/>
          <w:szCs w:val="24"/>
        </w:rPr>
        <w:t xml:space="preserve"> (2008) explain, this process is characterized by vigorous negotiation between the various stakeholders. As a professional legislator or a public administrator, one's role is to make contributions that seek to promote understanding of the GMOs. Whether it is the argument </w:t>
      </w:r>
      <w:r>
        <w:rPr>
          <w:rFonts w:ascii="Times New Roman" w:cs="Times New Roman" w:hAnsi="Times New Roman"/>
          <w:sz w:val="24"/>
          <w:szCs w:val="24"/>
        </w:rPr>
        <w:t>about the pros or cons of GMOs, the discussion should appear clear and transparent, supported by data and logical reasoning, and not just opinions influenced by other outside factors.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Policy Legitimation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This process involves the public viewing the policy as legal and authoritative. Gaining legitimacy involves taking the policy through the legislative process where the legislators will discuss and pass it if it is deemed fit for the people. However, a lot of factors may influence this process, which can inhibit the legitimacy and transparency of the policy. Professional legislators and public administrators are not just politicians swayed by personal interest groups, but scientific data should sway their opinions. The legitimacy of the policy is good when the public is willing to accept it. Legislators have a responsibility to make good public policies and address the concerns that they may have regarding the GMOs. It is true that some of the GMO products are harmful and not safe for people, but these are the area that legislators need to address to eliminate the harmful impacts while retaining the benefits. Scientific data has shown that GMOs have the potential to minimize some of the social challenges like poverty and food shortage through insect resistance, herbicide, and drought-tolera</w:t>
      </w:r>
      <w:r>
        <w:rPr>
          <w:rFonts w:ascii="Times New Roman" w:cs="Times New Roman" w:hAnsi="Times New Roman"/>
          <w:sz w:val="24"/>
          <w:szCs w:val="24"/>
        </w:rPr>
        <w:t>nt crops (</w:t>
      </w:r>
      <w:r>
        <w:rPr>
          <w:rFonts w:ascii="Times New Roman" w:cs="Times New Roman" w:hAnsi="Times New Roman"/>
          <w:sz w:val="24"/>
          <w:szCs w:val="24"/>
        </w:rPr>
        <w:t>Azadi</w:t>
      </w:r>
      <w:r>
        <w:rPr>
          <w:rFonts w:ascii="Times New Roman" w:cs="Times New Roman" w:hAnsi="Times New Roman"/>
          <w:sz w:val="24"/>
          <w:szCs w:val="24"/>
        </w:rPr>
        <w:t xml:space="preserve"> et al., 2016). </w:t>
      </w:r>
      <w:r>
        <w:rPr>
          <w:rFonts w:ascii="Times New Roman" w:cs="Times New Roman" w:hAnsi="Times New Roman"/>
          <w:sz w:val="24"/>
          <w:szCs w:val="24"/>
        </w:rPr>
        <w:t>However, it should also be noted that there are dangers that need to be addressed, such as intellectual property for small farmers and socioeconomic and environmental safety issues (</w:t>
      </w:r>
      <w:r>
        <w:rPr>
          <w:rFonts w:ascii="Times New Roman" w:cs="Times New Roman" w:hAnsi="Times New Roman"/>
          <w:sz w:val="24"/>
          <w:szCs w:val="24"/>
        </w:rPr>
        <w:t>Azadi</w:t>
      </w:r>
      <w:r>
        <w:rPr>
          <w:rFonts w:ascii="Times New Roman" w:cs="Times New Roman" w:hAnsi="Times New Roman"/>
          <w:sz w:val="24"/>
          <w:szCs w:val="24"/>
        </w:rPr>
        <w:t xml:space="preserve"> et al., 2016).</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Policy Implementation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implementation process is where the policy is put into action. This is where public administrators' role is majorly depicted. At this point, the responsibility has passed from the policymakers or legislators and shifted to implementers. Public administrators can encourage and </w:t>
      </w:r>
      <w:r>
        <w:rPr>
          <w:rFonts w:ascii="Times New Roman" w:cs="Times New Roman" w:hAnsi="Times New Roman"/>
          <w:sz w:val="24"/>
          <w:szCs w:val="24"/>
        </w:rPr>
        <w:t>enhance a transparent scientific discussion through genuine and honest contributions of how the policy implementation will impact the public.</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Policy Evaluation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After a policy has been implemented, its evaluation becomes critical to determine its effectiveness in achieving the desired goals. As </w:t>
      </w:r>
      <w:r>
        <w:rPr>
          <w:rFonts w:ascii="Times New Roman" w:cs="Times New Roman" w:hAnsi="Times New Roman"/>
          <w:sz w:val="24"/>
          <w:szCs w:val="24"/>
        </w:rPr>
        <w:t>Buaitti</w:t>
      </w:r>
      <w:r>
        <w:rPr>
          <w:rFonts w:ascii="Times New Roman" w:cs="Times New Roman" w:hAnsi="Times New Roman"/>
          <w:sz w:val="24"/>
          <w:szCs w:val="24"/>
        </w:rPr>
        <w:t xml:space="preserve"> et al. (2013) explain</w:t>
      </w:r>
      <w:r>
        <w:rPr>
          <w:rFonts w:ascii="Times New Roman" w:cs="Times New Roman" w:hAnsi="Times New Roman"/>
          <w:sz w:val="24"/>
          <w:szCs w:val="24"/>
        </w:rPr>
        <w:t>,</w:t>
      </w:r>
      <w:r>
        <w:rPr>
          <w:rFonts w:ascii="Times New Roman" w:cs="Times New Roman" w:hAnsi="Times New Roman"/>
          <w:sz w:val="24"/>
          <w:szCs w:val="24"/>
        </w:rPr>
        <w:t xml:space="preserve"> the focus on GM crops' risks can draw attention away from its potential benefits. Therefore, public administrators and professional legislators need to determine how to evaluate the outcomes effectively and share the outcomes with the public and other relevant institutions. This, however, should be guided by honest and genuine discussion and supported by facts.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Policy Maintenance, Succession or Termination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Once the policies are implemented, they need to be gauged periodically to determine their relevance and use. As </w:t>
      </w:r>
      <w:r>
        <w:rPr>
          <w:rFonts w:ascii="Times New Roman" w:cs="Times New Roman" w:hAnsi="Times New Roman"/>
          <w:sz w:val="24"/>
          <w:szCs w:val="24"/>
        </w:rPr>
        <w:t>Pielke</w:t>
      </w:r>
      <w:r>
        <w:rPr>
          <w:rFonts w:ascii="Times New Roman" w:cs="Times New Roman" w:hAnsi="Times New Roman"/>
          <w:sz w:val="24"/>
          <w:szCs w:val="24"/>
        </w:rPr>
        <w:t xml:space="preserve"> (2007) explains, a successful public policymaking process translates the policies into potential benefits for every citizen. As the world continues to face challenges ranging from increasing poverty rate to food shortage, GMOs present the potential benefits for all. Castillo et al. (2017) explain that the emerging biotechnological approaches like GM crops and livestock present farmers with great potential and opportunities to maximize their yields and improve their living standards. The role of the public administrator and legislators is to translate these potential benefits and opportunities that the GM farming approach presents beneficial laws and regulations for every member of the society.  Implementing such a substantial change may not be easy, but with political goodwill and desire to see a better society, it is very much likely that it can be achieved. The policy maintenance, succession, or termination is crucial for both legislators and public administrators because this is where most policies, especially the good ones, deteriorate and end up being terminated. The policymakers can easily </w:t>
      </w:r>
      <w:r>
        <w:rPr>
          <w:rFonts w:ascii="Times New Roman" w:cs="Times New Roman" w:hAnsi="Times New Roman"/>
          <w:sz w:val="24"/>
          <w:szCs w:val="24"/>
        </w:rPr>
        <w:t>shift their goals, values, and priorities, or even beliefs, but as a public administrator and professional legislators, these changes should not inhibit the implementation of good policies that may help in alleviating the socio-economic challenges the world faces today.</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0"/>
          <w:shd w:val="clear" w:color="auto" w:fill="ffffff"/>
        </w:rPr>
      </w:pPr>
      <w:r>
        <w:rPr>
          <w:rFonts w:ascii="Times New Roman" w:cs="Times New Roman" w:hAnsi="Times New Roman"/>
          <w:sz w:val="24"/>
          <w:szCs w:val="20"/>
          <w:shd w:val="clear" w:color="auto" w:fill="ffffff"/>
        </w:rPr>
        <w:t>Azadi</w:t>
      </w:r>
      <w:r>
        <w:rPr>
          <w:rFonts w:ascii="Times New Roman" w:cs="Times New Roman" w:hAnsi="Times New Roman"/>
          <w:sz w:val="24"/>
          <w:szCs w:val="20"/>
          <w:shd w:val="clear" w:color="auto" w:fill="ffffff"/>
        </w:rPr>
        <w:t xml:space="preserve">, H., </w:t>
      </w:r>
      <w:r>
        <w:rPr>
          <w:rFonts w:ascii="Times New Roman" w:cs="Times New Roman" w:hAnsi="Times New Roman"/>
          <w:sz w:val="24"/>
          <w:szCs w:val="20"/>
          <w:shd w:val="clear" w:color="auto" w:fill="ffffff"/>
        </w:rPr>
        <w:t>Samiee</w:t>
      </w:r>
      <w:r>
        <w:rPr>
          <w:rFonts w:ascii="Times New Roman" w:cs="Times New Roman" w:hAnsi="Times New Roman"/>
          <w:sz w:val="24"/>
          <w:szCs w:val="20"/>
          <w:shd w:val="clear" w:color="auto" w:fill="ffffff"/>
        </w:rPr>
        <w:t xml:space="preserve">, A., </w:t>
      </w:r>
      <w:r>
        <w:rPr>
          <w:rFonts w:ascii="Times New Roman" w:cs="Times New Roman" w:hAnsi="Times New Roman"/>
          <w:sz w:val="24"/>
          <w:szCs w:val="20"/>
          <w:shd w:val="clear" w:color="auto" w:fill="ffffff"/>
        </w:rPr>
        <w:t>Mahmoudi</w:t>
      </w:r>
      <w:r>
        <w:rPr>
          <w:rFonts w:ascii="Times New Roman" w:cs="Times New Roman" w:hAnsi="Times New Roman"/>
          <w:sz w:val="24"/>
          <w:szCs w:val="20"/>
          <w:shd w:val="clear" w:color="auto" w:fill="ffffff"/>
        </w:rPr>
        <w:t xml:space="preserve">, H., </w:t>
      </w:r>
      <w:r>
        <w:rPr>
          <w:rFonts w:ascii="Times New Roman" w:cs="Times New Roman" w:hAnsi="Times New Roman"/>
          <w:sz w:val="24"/>
          <w:szCs w:val="20"/>
          <w:shd w:val="clear" w:color="auto" w:fill="ffffff"/>
        </w:rPr>
        <w:t>Jouzi</w:t>
      </w:r>
      <w:r>
        <w:rPr>
          <w:rFonts w:ascii="Times New Roman" w:cs="Times New Roman" w:hAnsi="Times New Roman"/>
          <w:sz w:val="24"/>
          <w:szCs w:val="20"/>
          <w:shd w:val="clear" w:color="auto" w:fill="ffffff"/>
        </w:rPr>
        <w:t xml:space="preserve">, Z., </w:t>
      </w:r>
      <w:r>
        <w:rPr>
          <w:rFonts w:ascii="Times New Roman" w:cs="Times New Roman" w:hAnsi="Times New Roman"/>
          <w:sz w:val="24"/>
          <w:szCs w:val="20"/>
          <w:shd w:val="clear" w:color="auto" w:fill="ffffff"/>
        </w:rPr>
        <w:t>Rafiaani</w:t>
      </w:r>
      <w:r>
        <w:rPr>
          <w:rFonts w:ascii="Times New Roman" w:cs="Times New Roman" w:hAnsi="Times New Roman"/>
          <w:sz w:val="24"/>
          <w:szCs w:val="20"/>
          <w:shd w:val="clear" w:color="auto" w:fill="ffffff"/>
        </w:rPr>
        <w:t xml:space="preserve"> </w:t>
      </w:r>
      <w:r>
        <w:rPr>
          <w:rFonts w:ascii="Times New Roman" w:cs="Times New Roman" w:hAnsi="Times New Roman"/>
          <w:sz w:val="24"/>
          <w:szCs w:val="20"/>
          <w:shd w:val="clear" w:color="auto" w:fill="ffffff"/>
        </w:rPr>
        <w:t>Khachak</w:t>
      </w:r>
      <w:r>
        <w:rPr>
          <w:rFonts w:ascii="Times New Roman" w:cs="Times New Roman" w:hAnsi="Times New Roman"/>
          <w:sz w:val="24"/>
          <w:szCs w:val="20"/>
          <w:shd w:val="clear" w:color="auto" w:fill="ffffff"/>
        </w:rPr>
        <w:t xml:space="preserve">, P., De </w:t>
      </w:r>
      <w:r>
        <w:rPr>
          <w:rFonts w:ascii="Times New Roman" w:cs="Times New Roman" w:hAnsi="Times New Roman"/>
          <w:sz w:val="24"/>
          <w:szCs w:val="20"/>
          <w:shd w:val="clear" w:color="auto" w:fill="ffffff"/>
        </w:rPr>
        <w:t>Maeyer</w:t>
      </w:r>
      <w:r>
        <w:rPr>
          <w:rFonts w:ascii="Times New Roman" w:cs="Times New Roman" w:hAnsi="Times New Roman"/>
          <w:sz w:val="24"/>
          <w:szCs w:val="20"/>
          <w:shd w:val="clear" w:color="auto" w:fill="ffffff"/>
        </w:rPr>
        <w:t xml:space="preserve">, P., &amp; </w:t>
      </w:r>
      <w:r>
        <w:rPr>
          <w:rFonts w:ascii="Times New Roman" w:cs="Times New Roman" w:hAnsi="Times New Roman"/>
          <w:sz w:val="24"/>
          <w:szCs w:val="20"/>
          <w:shd w:val="clear" w:color="auto" w:fill="ffffff"/>
        </w:rPr>
        <w:t>Witlox</w:t>
      </w:r>
      <w:r>
        <w:rPr>
          <w:rFonts w:ascii="Times New Roman" w:cs="Times New Roman" w:hAnsi="Times New Roman"/>
          <w:sz w:val="24"/>
          <w:szCs w:val="20"/>
          <w:shd w:val="clear" w:color="auto" w:fill="ffffff"/>
        </w:rPr>
        <w:t>, F. (2016).</w:t>
      </w:r>
      <w:r>
        <w:rPr>
          <w:rFonts w:ascii="Times New Roman" w:cs="Times New Roman" w:hAnsi="Times New Roman"/>
          <w:sz w:val="24"/>
          <w:szCs w:val="20"/>
          <w:shd w:val="clear" w:color="auto" w:fill="ffffff"/>
        </w:rPr>
        <w:t xml:space="preserve"> </w:t>
      </w:r>
      <w:r>
        <w:rPr>
          <w:rFonts w:ascii="Times New Roman" w:cs="Times New Roman" w:hAnsi="Times New Roman"/>
          <w:sz w:val="24"/>
          <w:szCs w:val="20"/>
          <w:shd w:val="clear" w:color="auto" w:fill="ffffff"/>
        </w:rPr>
        <w:t>Genetically modified crops and small-scale farmers: main opportunities and challenges.</w:t>
      </w:r>
      <w:r>
        <w:rPr>
          <w:rFonts w:ascii="Times New Roman" w:cs="Times New Roman" w:hAnsi="Times New Roman"/>
          <w:sz w:val="24"/>
          <w:szCs w:val="20"/>
          <w:shd w:val="clear" w:color="auto" w:fill="ffffff"/>
        </w:rPr>
        <w:t> </w:t>
      </w:r>
      <w:r>
        <w:rPr>
          <w:rFonts w:ascii="Times New Roman" w:cs="Times New Roman" w:hAnsi="Times New Roman"/>
          <w:i/>
          <w:iCs/>
          <w:sz w:val="24"/>
          <w:szCs w:val="20"/>
          <w:shd w:val="clear" w:color="auto" w:fill="ffffff"/>
        </w:rPr>
        <w:t>Critical reviews in biotechnology</w:t>
      </w:r>
      <w:r>
        <w:rPr>
          <w:rFonts w:ascii="Times New Roman" w:cs="Times New Roman" w:hAnsi="Times New Roman"/>
          <w:sz w:val="24"/>
          <w:szCs w:val="20"/>
          <w:shd w:val="clear" w:color="auto" w:fill="ffffff"/>
        </w:rPr>
        <w:t>, </w:t>
      </w:r>
      <w:r>
        <w:rPr>
          <w:rFonts w:ascii="Times New Roman" w:cs="Times New Roman" w:hAnsi="Times New Roman"/>
          <w:i/>
          <w:iCs/>
          <w:sz w:val="24"/>
          <w:szCs w:val="20"/>
          <w:shd w:val="clear" w:color="auto" w:fill="ffffff"/>
        </w:rPr>
        <w:t>36</w:t>
      </w:r>
      <w:r>
        <w:rPr>
          <w:rFonts w:ascii="Times New Roman" w:cs="Times New Roman" w:hAnsi="Times New Roman"/>
          <w:sz w:val="24"/>
          <w:szCs w:val="20"/>
          <w:shd w:val="clear" w:color="auto" w:fill="ffffff"/>
        </w:rPr>
        <w:t>(3), 434-446.</w:t>
      </w:r>
    </w:p>
    <w:p>
      <w:pPr>
        <w:pStyle w:val="style0"/>
        <w:spacing w:after="0" w:lineRule="auto" w:line="480"/>
        <w:ind w:left="720" w:hanging="720"/>
        <w:rPr>
          <w:rFonts w:ascii="Times New Roman" w:cs="Times New Roman" w:hAnsi="Times New Roman"/>
          <w:b/>
          <w:sz w:val="24"/>
          <w:szCs w:val="20"/>
          <w:shd w:val="clear" w:color="auto" w:fill="ffffff"/>
        </w:rPr>
      </w:pPr>
      <w:r>
        <w:rPr>
          <w:rFonts w:ascii="Times New Roman" w:cs="Times New Roman" w:hAnsi="Times New Roman"/>
          <w:sz w:val="24"/>
          <w:szCs w:val="20"/>
          <w:shd w:val="clear" w:color="auto" w:fill="ffffff"/>
        </w:rPr>
        <w:t>Buiatti</w:t>
      </w:r>
      <w:r>
        <w:rPr>
          <w:rFonts w:ascii="Times New Roman" w:cs="Times New Roman" w:hAnsi="Times New Roman"/>
          <w:sz w:val="24"/>
          <w:szCs w:val="20"/>
          <w:shd w:val="clear" w:color="auto" w:fill="ffffff"/>
        </w:rPr>
        <w:t xml:space="preserve">, M., </w:t>
      </w:r>
      <w:r>
        <w:rPr>
          <w:rFonts w:ascii="Times New Roman" w:cs="Times New Roman" w:hAnsi="Times New Roman"/>
          <w:sz w:val="24"/>
          <w:szCs w:val="20"/>
          <w:shd w:val="clear" w:color="auto" w:fill="ffffff"/>
        </w:rPr>
        <w:t>Christou</w:t>
      </w:r>
      <w:r>
        <w:rPr>
          <w:rFonts w:ascii="Times New Roman" w:cs="Times New Roman" w:hAnsi="Times New Roman"/>
          <w:sz w:val="24"/>
          <w:szCs w:val="20"/>
          <w:shd w:val="clear" w:color="auto" w:fill="ffffff"/>
        </w:rPr>
        <w:t xml:space="preserve">, P., &amp; </w:t>
      </w:r>
      <w:r>
        <w:rPr>
          <w:rFonts w:ascii="Times New Roman" w:cs="Times New Roman" w:hAnsi="Times New Roman"/>
          <w:sz w:val="24"/>
          <w:szCs w:val="20"/>
          <w:shd w:val="clear" w:color="auto" w:fill="ffffff"/>
        </w:rPr>
        <w:t>Pastore</w:t>
      </w:r>
      <w:r>
        <w:rPr>
          <w:rFonts w:ascii="Times New Roman" w:cs="Times New Roman" w:hAnsi="Times New Roman"/>
          <w:sz w:val="24"/>
          <w:szCs w:val="20"/>
          <w:shd w:val="clear" w:color="auto" w:fill="ffffff"/>
        </w:rPr>
        <w:t>, G. (2013).</w:t>
      </w:r>
      <w:r>
        <w:rPr>
          <w:rFonts w:ascii="Times New Roman" w:cs="Times New Roman" w:hAnsi="Times New Roman"/>
          <w:sz w:val="24"/>
          <w:szCs w:val="20"/>
          <w:shd w:val="clear" w:color="auto" w:fill="ffffff"/>
        </w:rPr>
        <w:t xml:space="preserve"> The application of GMOs in agriculture and in food production for a better nutrition: two different scientific points of view. </w:t>
      </w:r>
      <w:r>
        <w:rPr>
          <w:rFonts w:ascii="Times New Roman" w:cs="Times New Roman" w:hAnsi="Times New Roman"/>
          <w:i/>
          <w:iCs/>
          <w:sz w:val="24"/>
          <w:szCs w:val="20"/>
          <w:shd w:val="clear" w:color="auto" w:fill="ffffff"/>
        </w:rPr>
        <w:t>Genes &amp; nutrition</w:t>
      </w:r>
      <w:r>
        <w:rPr>
          <w:rFonts w:ascii="Times New Roman" w:cs="Times New Roman" w:hAnsi="Times New Roman"/>
          <w:sz w:val="24"/>
          <w:szCs w:val="20"/>
          <w:shd w:val="clear" w:color="auto" w:fill="ffffff"/>
        </w:rPr>
        <w:t>, </w:t>
      </w:r>
      <w:r>
        <w:rPr>
          <w:rFonts w:ascii="Times New Roman" w:cs="Times New Roman" w:hAnsi="Times New Roman"/>
          <w:i/>
          <w:iCs/>
          <w:sz w:val="24"/>
          <w:szCs w:val="20"/>
          <w:shd w:val="clear" w:color="auto" w:fill="ffffff"/>
        </w:rPr>
        <w:t>8</w:t>
      </w:r>
      <w:r>
        <w:rPr>
          <w:rFonts w:ascii="Times New Roman" w:cs="Times New Roman" w:hAnsi="Times New Roman"/>
          <w:sz w:val="24"/>
          <w:szCs w:val="20"/>
          <w:shd w:val="clear" w:color="auto" w:fill="ffffff"/>
        </w:rPr>
        <w:t>(3), 255-270.</w:t>
      </w:r>
    </w:p>
    <w:p>
      <w:pPr>
        <w:pStyle w:val="style0"/>
        <w:spacing w:after="0" w:lineRule="auto" w:line="480"/>
        <w:ind w:left="720" w:hanging="720"/>
        <w:rPr>
          <w:rFonts w:ascii="Times New Roman" w:cs="Times New Roman" w:hAnsi="Times New Roman"/>
          <w:sz w:val="24"/>
          <w:szCs w:val="20"/>
          <w:shd w:val="clear" w:color="auto" w:fill="ffffff"/>
        </w:rPr>
      </w:pPr>
      <w:r>
        <w:rPr>
          <w:rFonts w:ascii="Times New Roman" w:cs="Times New Roman" w:hAnsi="Times New Roman"/>
          <w:sz w:val="24"/>
          <w:szCs w:val="20"/>
          <w:shd w:val="clear" w:color="auto" w:fill="ffffff"/>
        </w:rPr>
        <w:t xml:space="preserve">Castillo, C., </w:t>
      </w:r>
      <w:r>
        <w:rPr>
          <w:rFonts w:ascii="Times New Roman" w:cs="Times New Roman" w:hAnsi="Times New Roman"/>
          <w:sz w:val="24"/>
          <w:szCs w:val="20"/>
          <w:shd w:val="clear" w:color="auto" w:fill="ffffff"/>
        </w:rPr>
        <w:t>Abuelo</w:t>
      </w:r>
      <w:r>
        <w:rPr>
          <w:rFonts w:ascii="Times New Roman" w:cs="Times New Roman" w:hAnsi="Times New Roman"/>
          <w:sz w:val="24"/>
          <w:szCs w:val="20"/>
          <w:shd w:val="clear" w:color="auto" w:fill="ffffff"/>
        </w:rPr>
        <w:t>, A., &amp; Hernandez, J. (2017).</w:t>
      </w:r>
      <w:r>
        <w:rPr>
          <w:rFonts w:ascii="Times New Roman" w:cs="Times New Roman" w:hAnsi="Times New Roman"/>
          <w:sz w:val="24"/>
          <w:szCs w:val="20"/>
          <w:shd w:val="clear" w:color="auto" w:fill="ffffff"/>
        </w:rPr>
        <w:t xml:space="preserve"> Biotechnologi</w:t>
      </w:r>
      <w:bookmarkStart w:id="0" w:name="_GoBack"/>
      <w:bookmarkEnd w:id="0"/>
      <w:r>
        <w:rPr>
          <w:rFonts w:ascii="Times New Roman" w:cs="Times New Roman" w:hAnsi="Times New Roman"/>
          <w:sz w:val="24"/>
          <w:szCs w:val="20"/>
          <w:shd w:val="clear" w:color="auto" w:fill="ffffff"/>
        </w:rPr>
        <w:t xml:space="preserve">cal approaches to improve sustainable milk and meat yield in bovines. </w:t>
      </w:r>
      <w:r>
        <w:rPr>
          <w:rFonts w:ascii="Times New Roman" w:cs="Times New Roman" w:hAnsi="Times New Roman"/>
          <w:sz w:val="24"/>
          <w:szCs w:val="20"/>
          <w:shd w:val="clear" w:color="auto" w:fill="ffffff"/>
        </w:rPr>
        <w:t>In </w:t>
      </w:r>
      <w:r>
        <w:rPr>
          <w:rFonts w:ascii="Times New Roman" w:cs="Times New Roman" w:hAnsi="Times New Roman"/>
          <w:i/>
          <w:iCs/>
          <w:sz w:val="24"/>
          <w:szCs w:val="20"/>
          <w:shd w:val="clear" w:color="auto" w:fill="ffffff"/>
        </w:rPr>
        <w:t>Reference module in food science</w:t>
      </w:r>
      <w:r>
        <w:rPr>
          <w:rFonts w:ascii="Times New Roman" w:cs="Times New Roman" w:hAnsi="Times New Roman"/>
          <w:sz w:val="24"/>
          <w:szCs w:val="20"/>
          <w:shd w:val="clear" w:color="auto" w:fill="ffffff"/>
        </w:rPr>
        <w:t> (pp. 1-27).</w:t>
      </w:r>
      <w:r>
        <w:rPr>
          <w:rFonts w:ascii="Times New Roman" w:cs="Times New Roman" w:hAnsi="Times New Roman"/>
          <w:sz w:val="24"/>
          <w:szCs w:val="20"/>
          <w:shd w:val="clear" w:color="auto" w:fill="ffffff"/>
        </w:rPr>
        <w:t xml:space="preserve"> </w:t>
      </w:r>
      <w:r>
        <w:rPr>
          <w:rFonts w:ascii="Times New Roman" w:cs="Times New Roman" w:hAnsi="Times New Roman"/>
          <w:sz w:val="24"/>
          <w:szCs w:val="20"/>
          <w:shd w:val="clear" w:color="auto" w:fill="ffffff"/>
        </w:rPr>
        <w:t>Elsevier.</w:t>
      </w:r>
    </w:p>
    <w:p>
      <w:pPr>
        <w:pStyle w:val="style0"/>
        <w:spacing w:after="0" w:lineRule="auto" w:line="480"/>
        <w:ind w:left="720" w:hanging="720"/>
        <w:rPr>
          <w:rFonts w:ascii="Times New Roman" w:cs="Times New Roman" w:hAnsi="Times New Roman"/>
          <w:sz w:val="24"/>
          <w:szCs w:val="20"/>
          <w:shd w:val="clear" w:color="auto" w:fill="ffffff"/>
        </w:rPr>
      </w:pPr>
      <w:r>
        <w:rPr>
          <w:rFonts w:ascii="Times New Roman" w:cs="Times New Roman" w:hAnsi="Times New Roman"/>
          <w:sz w:val="24"/>
          <w:szCs w:val="20"/>
          <w:shd w:val="clear" w:color="auto" w:fill="ffffff"/>
        </w:rPr>
        <w:t>Knill</w:t>
      </w:r>
      <w:r>
        <w:rPr>
          <w:rFonts w:ascii="Times New Roman" w:cs="Times New Roman" w:hAnsi="Times New Roman"/>
          <w:sz w:val="24"/>
          <w:szCs w:val="20"/>
          <w:shd w:val="clear" w:color="auto" w:fill="ffffff"/>
        </w:rPr>
        <w:t xml:space="preserve">, C., &amp; </w:t>
      </w:r>
      <w:r>
        <w:rPr>
          <w:rFonts w:ascii="Times New Roman" w:cs="Times New Roman" w:hAnsi="Times New Roman"/>
          <w:sz w:val="24"/>
          <w:szCs w:val="20"/>
          <w:shd w:val="clear" w:color="auto" w:fill="ffffff"/>
        </w:rPr>
        <w:t>Tosun</w:t>
      </w:r>
      <w:r>
        <w:rPr>
          <w:rFonts w:ascii="Times New Roman" w:cs="Times New Roman" w:hAnsi="Times New Roman"/>
          <w:sz w:val="24"/>
          <w:szCs w:val="20"/>
          <w:shd w:val="clear" w:color="auto" w:fill="ffffff"/>
        </w:rPr>
        <w:t>, J. (2008).</w:t>
      </w:r>
      <w:r>
        <w:rPr>
          <w:rFonts w:ascii="Times New Roman" w:cs="Times New Roman" w:hAnsi="Times New Roman"/>
          <w:sz w:val="24"/>
          <w:szCs w:val="20"/>
          <w:shd w:val="clear" w:color="auto" w:fill="ffffff"/>
        </w:rPr>
        <w:t xml:space="preserve"> </w:t>
      </w:r>
      <w:r>
        <w:rPr>
          <w:rFonts w:ascii="Times New Roman" w:cs="Times New Roman" w:hAnsi="Times New Roman"/>
          <w:sz w:val="24"/>
          <w:szCs w:val="20"/>
          <w:shd w:val="clear" w:color="auto" w:fill="ffffff"/>
        </w:rPr>
        <w:t>Policy making.</w:t>
      </w:r>
      <w:r>
        <w:rPr>
          <w:rFonts w:ascii="Times New Roman" w:cs="Times New Roman" w:hAnsi="Times New Roman"/>
          <w:sz w:val="24"/>
          <w:szCs w:val="20"/>
          <w:shd w:val="clear" w:color="auto" w:fill="ffffff"/>
        </w:rPr>
        <w:t> </w:t>
      </w:r>
      <w:r>
        <w:rPr>
          <w:rFonts w:ascii="Times New Roman" w:cs="Times New Roman" w:hAnsi="Times New Roman"/>
          <w:i/>
          <w:iCs/>
          <w:sz w:val="24"/>
          <w:szCs w:val="20"/>
          <w:shd w:val="clear" w:color="auto" w:fill="ffffff"/>
        </w:rPr>
        <w:t>Comparative politics</w:t>
      </w:r>
      <w:r>
        <w:rPr>
          <w:rFonts w:ascii="Times New Roman" w:cs="Times New Roman" w:hAnsi="Times New Roman"/>
          <w:sz w:val="24"/>
          <w:szCs w:val="20"/>
          <w:shd w:val="clear" w:color="auto" w:fill="ffffff"/>
        </w:rPr>
        <w:t>, </w:t>
      </w:r>
      <w:r>
        <w:rPr>
          <w:rFonts w:ascii="Times New Roman" w:cs="Times New Roman" w:hAnsi="Times New Roman"/>
          <w:i/>
          <w:iCs/>
          <w:sz w:val="24"/>
          <w:szCs w:val="20"/>
          <w:shd w:val="clear" w:color="auto" w:fill="ffffff"/>
        </w:rPr>
        <w:t>2</w:t>
      </w:r>
      <w:r>
        <w:rPr>
          <w:rFonts w:ascii="Times New Roman" w:cs="Times New Roman" w:hAnsi="Times New Roman"/>
          <w:sz w:val="24"/>
          <w:szCs w:val="20"/>
          <w:shd w:val="clear" w:color="auto" w:fill="ffffff"/>
        </w:rPr>
        <w:t>, 373-388.</w:t>
      </w:r>
    </w:p>
    <w:p>
      <w:pPr>
        <w:pStyle w:val="style0"/>
        <w:spacing w:after="0" w:lineRule="auto" w:line="480"/>
        <w:ind w:left="720" w:hanging="720"/>
        <w:rPr>
          <w:rFonts w:ascii="Times New Roman" w:cs="Times New Roman" w:hAnsi="Times New Roman"/>
          <w:sz w:val="28"/>
        </w:rPr>
      </w:pPr>
      <w:r>
        <w:rPr>
          <w:rFonts w:ascii="Times New Roman" w:cs="Times New Roman" w:hAnsi="Times New Roman"/>
          <w:sz w:val="24"/>
          <w:szCs w:val="20"/>
          <w:shd w:val="clear" w:color="auto" w:fill="ffffff"/>
        </w:rPr>
        <w:t>Pielke</w:t>
      </w:r>
      <w:r>
        <w:rPr>
          <w:rFonts w:ascii="Times New Roman" w:cs="Times New Roman" w:hAnsi="Times New Roman"/>
          <w:sz w:val="24"/>
          <w:szCs w:val="20"/>
          <w:shd w:val="clear" w:color="auto" w:fill="ffffff"/>
        </w:rPr>
        <w:t xml:space="preserve"> </w:t>
      </w:r>
      <w:r>
        <w:rPr>
          <w:rFonts w:ascii="Times New Roman" w:cs="Times New Roman" w:hAnsi="Times New Roman"/>
          <w:sz w:val="24"/>
          <w:szCs w:val="20"/>
          <w:shd w:val="clear" w:color="auto" w:fill="ffffff"/>
        </w:rPr>
        <w:t>Jr</w:t>
      </w:r>
      <w:r>
        <w:rPr>
          <w:rFonts w:ascii="Times New Roman" w:cs="Times New Roman" w:hAnsi="Times New Roman"/>
          <w:sz w:val="24"/>
          <w:szCs w:val="20"/>
          <w:shd w:val="clear" w:color="auto" w:fill="ffffff"/>
        </w:rPr>
        <w:t>, R. A. (2007). </w:t>
      </w:r>
      <w:r>
        <w:rPr>
          <w:rFonts w:ascii="Times New Roman" w:cs="Times New Roman" w:hAnsi="Times New Roman"/>
          <w:i/>
          <w:iCs/>
          <w:sz w:val="24"/>
          <w:szCs w:val="20"/>
          <w:shd w:val="clear" w:color="auto" w:fill="ffffff"/>
        </w:rPr>
        <w:t>The honest broker: making sense of science in policy and politics</w:t>
      </w:r>
      <w:r>
        <w:rPr>
          <w:rFonts w:ascii="Times New Roman" w:cs="Times New Roman" w:hAnsi="Times New Roman"/>
          <w:sz w:val="24"/>
          <w:szCs w:val="20"/>
          <w:shd w:val="clear" w:color="auto" w:fill="ffffff"/>
        </w:rPr>
        <w:t xml:space="preserve">. </w:t>
      </w:r>
      <w:r>
        <w:rPr>
          <w:rFonts w:ascii="Times New Roman" w:cs="Times New Roman" w:hAnsi="Times New Roman"/>
          <w:sz w:val="24"/>
          <w:szCs w:val="20"/>
          <w:shd w:val="clear" w:color="auto" w:fill="ffffff"/>
        </w:rPr>
        <w:t>Cambridge University Press.</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PUBLIC POLICY PROCESS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32394a8-3b3a-47ab-81eb-454afc5d659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3947772-3b21-4ad1-86b0-046e9259e11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1044</Words>
  <Pages>6</Pages>
  <Characters>5814</Characters>
  <Application>WPS Office</Application>
  <DocSecurity>0</DocSecurity>
  <Paragraphs>68</Paragraphs>
  <ScaleCrop>false</ScaleCrop>
  <LinksUpToDate>false</LinksUpToDate>
  <CharactersWithSpaces>6834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2020-10-17T07:02:52Z</dcterms:created>
  <dc:creator>acer</dc:creator>
  <lastModifiedBy>SM-A207F</lastModifiedBy>
  <dcterms:modified xsi:type="dcterms:W3CDTF">2020-10-17T07:02:52Z</dcterms:modified>
  <revision>2</revision>
</coreProperties>
</file>

<file path=docProps/custom.xml><?xml version="1.0" encoding="utf-8"?>
<Properties xmlns="http://schemas.openxmlformats.org/officeDocument/2006/custom-properties" xmlns:vt="http://schemas.openxmlformats.org/officeDocument/2006/docPropsVTypes"/>
</file>